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956" w:firstLine="707.9999999999995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ANNO SCOLASTICO </w:t>
      </w:r>
      <w:bookmarkStart w:colFirst="0" w:colLast="0" w:name="bookmark=id.30j0zll" w:id="0"/>
      <w:bookmarkEnd w:id="0"/>
      <w:r w:rsidDel="00000000" w:rsidR="00000000" w:rsidRPr="00000000">
        <w:rPr>
          <w:rtl w:val="0"/>
        </w:rPr>
        <w:t xml:space="preserve">  2023/2024   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  <w:t xml:space="preserve">DOCENTE </w:t>
      </w:r>
      <w:bookmarkStart w:colFirst="0" w:colLast="0" w:name="bookmark=id.1fob9te" w:id="2"/>
      <w:bookmarkEnd w:id="2"/>
      <w:r w:rsidDel="00000000" w:rsidR="00000000" w:rsidRPr="00000000">
        <w:rPr>
          <w:rtl w:val="0"/>
        </w:rPr>
        <w:t xml:space="preserve">  Sara Lodo    </w:t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DISCIPLINA </w:t>
      </w:r>
      <w:bookmarkStart w:colFirst="0" w:colLast="0" w:name="bookmark=id.3znysh7" w:id="3"/>
      <w:bookmarkEnd w:id="3"/>
      <w:r w:rsidDel="00000000" w:rsidR="00000000" w:rsidRPr="00000000">
        <w:rPr>
          <w:rtl w:val="0"/>
        </w:rPr>
        <w:t xml:space="preserve">   Seconda Lingua Francese  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CLASSE  </w:t>
      </w:r>
      <w:bookmarkStart w:colFirst="0" w:colLast="0" w:name="bookmark=id.2et92p0" w:id="4"/>
      <w:bookmarkEnd w:id="4"/>
      <w:r w:rsidDel="00000000" w:rsidR="00000000" w:rsidRPr="00000000">
        <w:rPr>
          <w:rtl w:val="0"/>
        </w:rPr>
        <w:t xml:space="preserve">  2   SEZ  </w:t>
      </w:r>
      <w:bookmarkStart w:colFirst="0" w:colLast="0" w:name="bookmark=id.tyjcwt" w:id="5"/>
      <w:bookmarkEnd w:id="5"/>
      <w:r w:rsidDel="00000000" w:rsidR="00000000" w:rsidRPr="00000000">
        <w:rPr>
          <w:rtl w:val="0"/>
        </w:rPr>
        <w:t xml:space="preserve"> A    INDIRIZZO </w:t>
      </w:r>
      <w:bookmarkStart w:colFirst="0" w:colLast="0" w:name="bookmark=id.3dy6vkm" w:id="6"/>
      <w:bookmarkEnd w:id="6"/>
      <w:r w:rsidDel="00000000" w:rsidR="00000000" w:rsidRPr="00000000">
        <w:rPr>
          <w:rtl w:val="0"/>
        </w:rPr>
        <w:t xml:space="preserve">     AFM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LIBRO/I  DI TESTO:  </w:t>
      </w:r>
      <w:bookmarkStart w:colFirst="0" w:colLast="0" w:name="bookmark=id.1t3h5sf" w:id="7"/>
      <w:bookmarkEnd w:id="7"/>
      <w:r w:rsidDel="00000000" w:rsidR="00000000" w:rsidRPr="00000000">
        <w:rPr>
          <w:rtl w:val="0"/>
        </w:rPr>
        <w:t xml:space="preserve"> ”Synergies 1”, Méthode pour les compétences de langue et culture française, Minerva Scuola, “Synergies 2”, Méthode pour les compétences de langue et culture française, Minerva Scuola.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Révision 1er année:</w:t>
      </w:r>
      <w:r w:rsidDel="00000000" w:rsidR="00000000" w:rsidRPr="00000000">
        <w:rPr>
          <w:rtl w:val="0"/>
        </w:rPr>
        <w:t xml:space="preserve"> verbes au présent I,II,III groupe, articles définis et indéfinis, feminin et pluriel des noms et adjectifs, les trois formes interrogatives, la négation, les adjectifs possessifs, les nombres de 0 à 100, les adjectifs démonstratifs, les articles contractés, les nationalités, les gallicismes, les pronoms toniques, l'impératif, les pronoms COD.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UNITÉ 6 - “RYTHME QUOTIDIEN 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COMMUNICATION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Parler de ses habitudes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Exprimer la fréquence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Décrire son lieu d’habitation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Situer un objet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Situer dans le temps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LEXIQUE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Les actions quotidiennes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Les moments de la journée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Les repas de la journée, des aliments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Les types de logement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Les pièces de la maison et les meubles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Dimensions, aspects, formes et matériaux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GRAMMAIRE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Les adverbes de fréquence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La localisation spatiale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Les indicateurs de temps au passé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Les articles partitifs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Les présentatifs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Les pronoms en et y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Les adjectifs indéfinis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Le passé composé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Le passé composé à la forme négative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Les verbes pronominaux 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  <w:t xml:space="preserve">Les verbes manger et commencer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UNITÉ 7 – COURSES ET ACHATS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COMMUNICATION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Faire des courses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Demander et dire le prix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Faire des achats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Solliciter et exprimer un jugement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LEXIQUE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Les commerces et les commerçants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Les vêtements, les chaussures et les accessoires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Les motifs et les matières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GRAMMAIRE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Exprimer la quantité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Demander poliment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Les comparatifs de quantité et de qualité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Les adverbes de quantité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L’adverbe interrogatif “combien”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L’imparfait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Les pronoms relatifs qui et que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Les verbes acheter, mettre et vendre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UNITÉ 8 – SAVEURS ET PROJETS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COMMUNICATION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Commander un repas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Exprimer son appréciation sur un plat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Exprimer son mécontentement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Demander de payer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Parler des vacances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Parler de ses projets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Compétences orales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LEXIQUE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Le restaurant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Le menu et les plants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Les lieux et les activités des vacances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L’hébergement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GRAMMAIRE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Les pronoms COI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Les adjectifs à deux formes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La place des adjectifs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Les pronoms relatifs dont et où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Le futur simple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Les verbes dire, voir, projeter, connaître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UNITÉ 9 – ÊTRE EN FORME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COMMUNICATION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Exprimer une sensation physique</w:t>
      </w:r>
    </w:p>
    <w:p w:rsidR="00000000" w:rsidDel="00000000" w:rsidP="00000000" w:rsidRDefault="00000000" w:rsidRPr="00000000" w14:paraId="00000051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Demander/dire comment on se 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LEXIQUE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Le corps humain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Le visage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Les symptômes, les maladies et les blessures</w:t>
      </w:r>
    </w:p>
    <w:p w:rsidR="00000000" w:rsidDel="00000000" w:rsidP="00000000" w:rsidRDefault="00000000" w:rsidRPr="00000000" w14:paraId="00000056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Les soins et les médicaments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GRAMMAIRE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Le passé composé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Le passé composé et l’imparfait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La double négation avec “ne…ni…ni”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Le conditionnel présent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Les adverbes de lieu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L’expression de la cause/ de la conséquence</w:t>
      </w:r>
    </w:p>
    <w:p w:rsidR="00000000" w:rsidDel="00000000" w:rsidP="00000000" w:rsidRDefault="00000000" w:rsidRPr="00000000" w14:paraId="0000005E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Le verbe “se sentir”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CULTURE ET CIVILISATION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Santé et alimentation des jeunes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color w:val="2962ff"/>
          <w:highlight w:val="white"/>
        </w:rPr>
      </w:pPr>
      <w:r w:rsidDel="00000000" w:rsidR="00000000" w:rsidRPr="00000000">
        <w:rPr>
          <w:b w:val="1"/>
          <w:rtl w:val="0"/>
        </w:rPr>
        <w:t xml:space="preserve">LES CHANSONS FRANÇAISES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"Aicha" Khaled </w:t>
      </w:r>
    </w:p>
    <w:p w:rsidR="00000000" w:rsidDel="00000000" w:rsidP="00000000" w:rsidRDefault="00000000" w:rsidRPr="00000000" w14:paraId="00000064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"For Me Formidable" Charles Aznavour </w:t>
      </w:r>
    </w:p>
    <w:p w:rsidR="00000000" w:rsidDel="00000000" w:rsidP="00000000" w:rsidRDefault="00000000" w:rsidRPr="00000000" w14:paraId="0000006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"Elle me dit" Mika </w:t>
      </w:r>
    </w:p>
    <w:p w:rsidR="00000000" w:rsidDel="00000000" w:rsidP="00000000" w:rsidRDefault="00000000" w:rsidRPr="00000000" w14:paraId="00000066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"Je veux" Zaz </w:t>
      </w:r>
    </w:p>
    <w:p w:rsidR="00000000" w:rsidDel="00000000" w:rsidP="00000000" w:rsidRDefault="00000000" w:rsidRPr="00000000" w14:paraId="00000067">
      <w:pPr>
        <w:rPr>
          <w:color w:val="2962ff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"Ma p'tite folie" Line Renaud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"Les gens" Christophe Maé </w:t>
      </w:r>
    </w:p>
    <w:p w:rsidR="00000000" w:rsidDel="00000000" w:rsidP="00000000" w:rsidRDefault="00000000" w:rsidRPr="00000000" w14:paraId="00000069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"Non, je ne regrette rien" Edith Piaf  </w:t>
      </w:r>
    </w:p>
    <w:p w:rsidR="00000000" w:rsidDel="00000000" w:rsidP="00000000" w:rsidRDefault="00000000" w:rsidRPr="00000000" w14:paraId="0000006A">
      <w:pPr>
        <w:rPr>
          <w:color w:val="2962ff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"Le Festin" Camille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color w:val="2962ff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"Voilà" Barbara Pravi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"La vie en rose" Edith Piaf</w:t>
      </w:r>
    </w:p>
    <w:p w:rsidR="00000000" w:rsidDel="00000000" w:rsidP="00000000" w:rsidRDefault="00000000" w:rsidRPr="00000000" w14:paraId="0000006D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"Paris" Souad Massi + Mae </w:t>
      </w:r>
    </w:p>
    <w:p w:rsidR="00000000" w:rsidDel="00000000" w:rsidP="00000000" w:rsidRDefault="00000000" w:rsidRPr="00000000" w14:paraId="0000006E">
      <w:pPr>
        <w:rPr>
          <w:color w:val="2962ff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"Comme d'habitude" Michel Sardou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"Je t'attends" Charles Aznavour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b w:val="1"/>
          <w:rtl w:val="0"/>
        </w:rPr>
        <w:t xml:space="preserve">SUPPORTI AUDIOVISIVI UTILIZZATI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Film: “Le Petit Prince”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Film: “Ratatouille” </w:t>
      </w:r>
    </w:p>
    <w:bookmarkStart w:colFirst="0" w:colLast="0" w:name="bookmark=id.4d34og8" w:id="8"/>
    <w:bookmarkEnd w:id="8"/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Melegnano, 29 maggio 2024</w:t>
      </w:r>
      <w:bookmarkStart w:colFirst="0" w:colLast="0" w:name="bookmark=id.2s8eyo1" w:id="9"/>
      <w:bookmarkEnd w:id="9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Firme alunni/e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-------------------------------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-------------------------------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firma docente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------------------------------------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ab/>
        <w:tab/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70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870"/>
      <w:gridCol w:w="7839"/>
      <w:tblGridChange w:id="0">
        <w:tblGrid>
          <w:gridCol w:w="1870"/>
          <w:gridCol w:w="7839"/>
        </w:tblGrid>
      </w:tblGridChange>
    </w:tblGrid>
    <w:tr>
      <w:trPr>
        <w:cantSplit w:val="1"/>
        <w:trHeight w:val="889" w:hRule="atLeast"/>
        <w:tblHeader w:val="0"/>
      </w:trPr>
      <w:tc>
        <w:tcPr>
          <w:vMerge w:val="restart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89">
          <w:pPr>
            <w:ind w:left="-70" w:right="-70" w:firstLine="70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0</wp:posOffset>
                </wp:positionV>
                <wp:extent cx="1097280" cy="589280"/>
                <wp:effectExtent b="0" l="0" r="0" t="0"/>
                <wp:wrapSquare wrapText="bothSides" distB="0" distT="0" distL="114300" distR="114300"/>
                <wp:docPr descr="Logo Benini" id="10" name="image1.jpg"/>
                <a:graphic>
                  <a:graphicData uri="http://schemas.openxmlformats.org/drawingml/2006/picture">
                    <pic:pic>
                      <pic:nvPicPr>
                        <pic:cNvPr descr="Logo Benini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9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tcMar>
            <w:top w:w="0.0" w:type="dxa"/>
            <w:bottom w:w="0.0" w:type="dxa"/>
          </w:tcMar>
        </w:tcPr>
        <w:bookmarkStart w:colFirst="0" w:colLast="0" w:name="bookmark=id.17dp8vu" w:id="10"/>
        <w:bookmarkEnd w:id="10"/>
        <w:p w:rsidR="00000000" w:rsidDel="00000000" w:rsidP="00000000" w:rsidRDefault="00000000" w:rsidRPr="00000000" w14:paraId="0000008A">
          <w:pPr>
            <w:jc w:val="center"/>
            <w:rPr/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246380" cy="246380"/>
                <wp:effectExtent b="0" l="0" r="0" 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463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Istituto di Istruzione Superiore “Vincenzo Benini” MELEGNANO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C">
          <w:pPr>
            <w:pStyle w:val="Heading2"/>
            <w:rPr/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707" w:hRule="atLeast"/>
        <w:tblHeader w:val="0"/>
      </w:trPr>
      <w:tc>
        <w:tcPr>
          <w:vMerge w:val="continue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8E">
          <w:pPr>
            <w:pStyle w:val="Heading2"/>
            <w:rPr>
              <w:b w:val="1"/>
              <w:i w:val="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F">
          <w:pPr>
            <w:pStyle w:val="Heading2"/>
            <w:rPr>
              <w:b w:val="1"/>
              <w:i w:val="0"/>
            </w:rPr>
          </w:pPr>
          <w:r w:rsidDel="00000000" w:rsidR="00000000" w:rsidRPr="00000000">
            <w:rPr>
              <w:b w:val="1"/>
              <w:i w:val="0"/>
              <w:rtl w:val="0"/>
            </w:rPr>
            <w:t xml:space="preserve">PROGRAMMI FINALI</w:t>
          </w:r>
        </w:p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paragraph" w:styleId="Titolo2">
    <w:name w:val="heading 2"/>
    <w:basedOn w:val="Normale"/>
    <w:next w:val="Normale"/>
    <w:qFormat w:val="1"/>
    <w:pPr>
      <w:keepNext w:val="1"/>
      <w:jc w:val="center"/>
      <w:outlineLvl w:val="1"/>
    </w:pPr>
    <w:rPr>
      <w:i w:val="1"/>
      <w:szCs w:val="20"/>
    </w:rPr>
  </w:style>
  <w:style w:type="character" w:styleId="Carpredefinitoparagrafo" w:default="1">
    <w:name w:val="Default Paragraph Font"/>
    <w:semiHidden w:val="1"/>
  </w:style>
  <w:style w:type="table" w:styleId="Tabellanormale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semiHidden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ltn0is5jYdm4UGQv5R/cqsgHnQ==">CgMxLjAyCmlkLjMwajB6bGwyCGguZ2pkZ3hzMgppZC4xZm9iOXRlMgppZC4zem55c2g3MgppZC4yZXQ5MnAwMglpZC50eWpjd3QyCmlkLjNkeTZ2a20yCmlkLjF0M2g1c2YyCmlkLjRkMzRvZzgyCmlkLjJzOGV5bzEyCmlkLjE3ZHA4dnU4AHIhMVlCV0diaEtlUnJJajhrV1Atb05VaWE0NTdpVVFKd1RF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2024-05-09T08:15:00Z</dcterms:created>
  <dc:creator>User</dc:creator>
</cp:coreProperties>
</file>